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2025-2029</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Swan Reach Primary School (1631)</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4698413" cy="1396825"/>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4698413" cy="1396825"/>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Travis Jorgensen (School Principal) on 05 March, 2026 at 11:34 AM</w:t>
                              <w:br/>
                              <w:t>Endorsed by Natalie Nelson (Senior Education Improvement Leader) on 05 March, 2026 at 12:14 PM</w:t>
                              <w:br/>
                              <w:t>Endorsed by Heather  Wilkins (School Council President) on 10 March, 2026 at 01:27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Travis Jorgensen (School Principal) on 05 March, 2026 at 11:34 AM</w:t>
                        <w:br/>
                        <w:t>Endorsed by Natalie Nelson (Senior Education Improvement Leader) on 05 March, 2026 at 12:14 PM</w:t>
                        <w:br/>
                        <w:t>Endorsed by Heather  Wilkins (School Council President) on 10 March, 2026 at 01:27 PM</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Swan Reach Primary School (1631)</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It is our hope to produce well rounded community members for the future by providing a thorough education that allows our students to be able to make decisions that will positively affect their lives. These choices will dictate their futures so they are able to lead happy successful lives.</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"Respect and Empathy for all" is the school motto and reflects the values that we, as a learning community hold dear to our hearts. Every child has the right to feel safe in our learning environment. Safe from physical and verbal harrassment. They need to be respected for who they are and what strengths they bring to our community. We engender a sense of empathy within the school to build respectful relationships, whether they be student - student, student - teacher or teacher - parent. It is our hope to produce well rounded community members for the future.</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Our challenges over the last few years have been many:</w:t>
              <w:br/>
              <w:t>1) We have a cohort of parents that take their children on extended holidays, both domestic and international that devalues education by not putting it as a priority.</w:t>
              <w:br/>
              <w:t>2) We have had and still do have school refusers that continue to be absent even though we have tried home connact with parents, home visits, engaging KESO's, engaging outside professionals and enticements to attend school.</w:t>
              <w:br/>
              <w:t>3) Over the last few years we have had a toxic staff culture, that has finally changed with staff leaving to go to other local schools. The school is currently in a very positive mindset.</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It is our hope to produce well rounded community members for the future by providing a thorough education that allows our students to be able to make decisions that will positively affect their lives. These choices will dictate their futures so they are able to lead happy successful lives.</w:t>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Swan Reach Primary School (1631)</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To improve student learning in Literacy and Numeracy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or maintain the percentage of students working at or above the expected age level (Teacher Judgement, Victorian Curriculum)</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English from 70% (2024) to 80%</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Maths 2.0 - 88% (2025), maintain above 85% </w:t>
            </w:r>
          </w:p>
          <w:p>
            <w:pPr>
              <w:rPr>
                <w:rStyle w:val="DefaultParagraphFont"/>
                <w:rFonts w:ascii="Arial" w:eastAsia="Arial" w:hAnsi="Arial" w:cs="Arial"/>
                <w:b w:val="0"/>
                <w:sz w:val="22"/>
                <w:szCs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2025 percentage of Year 5 students meeting NAPLAN Benchmark Growth:</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Reading from 38% to 75%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Numeracy from 56% to 75% </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2024 percentage positive responses to the School Staff Survey:</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Instructional Leadership from 64% to 82%</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Guaranteed and Viable Curriculum from 41% to 75%</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Teacher Collaboration from 55% to 75%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Develop and embed a school-wide instructional model.</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Build whole school curriculum and planning through structures and roles that support collaboration, professional learning and collective efficacy.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Strengthen student wellbeing and engagement outcomes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2024 percentage positive responses to the student Attitudes to School Survey (AtoSS):</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Student Voice and Agency from 66% to 90%</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School Connectedness from 71% to 90%</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Stimulated Learning from 69% to 90%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2024 average attendance rates from 85.5% to 88%</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teacher capacity to analyse and use data to inform differentiated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the capacity of students to be agents in their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Embed a whole school approach to positive behaviour support to create a safe, supportive, and predictable learning environment for families, students and staff</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Swan Reach Primary School (1631)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Swan Reach Primary School (1631)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